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EF15" w14:textId="1C47838A" w:rsidR="001839D2" w:rsidRDefault="00EA4E6E" w:rsidP="00E458F7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EA4E6E">
        <w:rPr>
          <w:rFonts w:ascii="Arial" w:eastAsiaTheme="majorEastAsia" w:hAnsi="Arial" w:cs="Arial"/>
          <w:b/>
          <w:bCs/>
          <w:sz w:val="28"/>
          <w:szCs w:val="28"/>
        </w:rPr>
        <w:t>Styrke omstillingsevnen i norsk økonomi ved å innføre aktivitetsdempende tiltak for petroleumsnæringen</w:t>
      </w:r>
    </w:p>
    <w:p w14:paraId="2B55BE81" w14:textId="77777777" w:rsidR="00EA4E6E" w:rsidRPr="00170410" w:rsidRDefault="00EA4E6E" w:rsidP="00E458F7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5"/>
        <w:gridCol w:w="2126"/>
        <w:gridCol w:w="2829"/>
      </w:tblGrid>
      <w:tr w:rsidR="001839D2" w14:paraId="1E9A8472" w14:textId="77777777" w:rsidTr="00AA2942">
        <w:tc>
          <w:tcPr>
            <w:tcW w:w="4105" w:type="dxa"/>
            <w:shd w:val="clear" w:color="auto" w:fill="E2EFD9" w:themeFill="accent6" w:themeFillTint="33"/>
          </w:tcPr>
          <w:p w14:paraId="1E8FBF70" w14:textId="6017FD20" w:rsidR="001839D2" w:rsidRPr="0023352A" w:rsidRDefault="00BE01AB" w:rsidP="00E45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nn-NO" w:eastAsia="nb-NO"/>
              </w:rPr>
              <w:t>I</w:t>
            </w:r>
            <w:r w:rsidR="001303E3">
              <w:rPr>
                <w:rFonts w:ascii="Arial" w:hAnsi="Arial" w:cs="Arial"/>
                <w:b/>
                <w:bCs/>
                <w:lang w:val="nn-NO" w:eastAsia="nb-NO"/>
              </w:rPr>
              <w:t>nntektsforslag</w:t>
            </w:r>
            <w:r w:rsidR="001839D2" w:rsidRPr="006C194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BAFF81E" w14:textId="4CA4D1F9" w:rsidR="001839D2" w:rsidRPr="0023352A" w:rsidRDefault="001839D2" w:rsidP="00E458F7">
            <w:pPr>
              <w:rPr>
                <w:rFonts w:ascii="Arial" w:hAnsi="Arial" w:cs="Arial"/>
                <w:b/>
              </w:rPr>
            </w:pPr>
            <w:r w:rsidRPr="0023352A">
              <w:rPr>
                <w:rFonts w:ascii="Arial" w:hAnsi="Arial" w:cs="Arial"/>
                <w:b/>
              </w:rPr>
              <w:t>Kapittel</w:t>
            </w:r>
            <w:r w:rsidR="00BE01AB">
              <w:rPr>
                <w:rFonts w:ascii="Arial" w:hAnsi="Arial" w:cs="Arial"/>
                <w:b/>
              </w:rPr>
              <w:t xml:space="preserve">, </w:t>
            </w:r>
            <w:r w:rsidRPr="0023352A">
              <w:rPr>
                <w:rFonts w:ascii="Arial" w:hAnsi="Arial" w:cs="Arial"/>
                <w:b/>
              </w:rPr>
              <w:t>post: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78CE54DC" w14:textId="77777777" w:rsidR="001839D2" w:rsidRPr="0023352A" w:rsidRDefault="001839D2" w:rsidP="00E458F7">
            <w:pPr>
              <w:rPr>
                <w:rFonts w:ascii="Arial" w:hAnsi="Arial" w:cs="Arial"/>
                <w:b/>
              </w:rPr>
            </w:pPr>
            <w:r w:rsidRPr="0023352A">
              <w:rPr>
                <w:rFonts w:ascii="Arial" w:hAnsi="Arial" w:cs="Arial"/>
                <w:b/>
              </w:rPr>
              <w:t>Budsjettvirkning:</w:t>
            </w:r>
          </w:p>
        </w:tc>
      </w:tr>
      <w:tr w:rsidR="001839D2" w14:paraId="3EBA8743" w14:textId="77777777" w:rsidTr="00AA2942">
        <w:tc>
          <w:tcPr>
            <w:tcW w:w="4105" w:type="dxa"/>
          </w:tcPr>
          <w:p w14:paraId="28D7BB18" w14:textId="01C6CDDF" w:rsidR="001839D2" w:rsidRPr="00E22216" w:rsidRDefault="00A830D0" w:rsidP="00A830D0">
            <w:pPr>
              <w:rPr>
                <w:rFonts w:ascii="Arial" w:hAnsi="Arial" w:cs="Arial"/>
              </w:rPr>
            </w:pPr>
            <w:r w:rsidRPr="00A830D0">
              <w:rPr>
                <w:rFonts w:ascii="Arial" w:hAnsi="Arial" w:cs="Arial"/>
              </w:rPr>
              <w:t>Fjerne friinntekten i oljeskattepakken</w:t>
            </w:r>
          </w:p>
        </w:tc>
        <w:tc>
          <w:tcPr>
            <w:tcW w:w="2126" w:type="dxa"/>
          </w:tcPr>
          <w:p w14:paraId="77314B9A" w14:textId="444EBB69" w:rsidR="001839D2" w:rsidRPr="00E22216" w:rsidRDefault="008C018E" w:rsidP="008C018E">
            <w:pPr>
              <w:rPr>
                <w:rFonts w:ascii="Arial" w:hAnsi="Arial" w:cs="Arial"/>
              </w:rPr>
            </w:pPr>
            <w:r w:rsidRPr="008C018E">
              <w:rPr>
                <w:rFonts w:ascii="Arial" w:hAnsi="Arial" w:cs="Arial"/>
              </w:rPr>
              <w:t>Kap. 5440, post 24</w:t>
            </w:r>
          </w:p>
        </w:tc>
        <w:tc>
          <w:tcPr>
            <w:tcW w:w="2829" w:type="dxa"/>
          </w:tcPr>
          <w:p w14:paraId="392E4284" w14:textId="29A25F3F" w:rsidR="001839D2" w:rsidRPr="00653F96" w:rsidRDefault="00653F96" w:rsidP="00653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24</w:t>
            </w:r>
            <w:r w:rsidR="00AC178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AC1781">
              <w:rPr>
                <w:rFonts w:ascii="Arial" w:hAnsi="Arial" w:cs="Arial"/>
              </w:rPr>
              <w:t xml:space="preserve"> mill. </w:t>
            </w:r>
            <w:r w:rsidR="007B6ADF">
              <w:rPr>
                <w:rFonts w:ascii="Arial" w:hAnsi="Arial" w:cs="Arial"/>
              </w:rPr>
              <w:t>kroner</w:t>
            </w:r>
          </w:p>
        </w:tc>
      </w:tr>
      <w:tr w:rsidR="00A830D0" w14:paraId="79FF1B90" w14:textId="77777777" w:rsidTr="00AA2942">
        <w:tc>
          <w:tcPr>
            <w:tcW w:w="4105" w:type="dxa"/>
          </w:tcPr>
          <w:p w14:paraId="453649F2" w14:textId="5CCBBB21" w:rsidR="00A830D0" w:rsidRPr="00A830D0" w:rsidRDefault="008018DD" w:rsidP="008018DD">
            <w:pPr>
              <w:rPr>
                <w:rFonts w:ascii="Arial" w:hAnsi="Arial" w:cs="Arial"/>
              </w:rPr>
            </w:pPr>
            <w:r w:rsidRPr="008018DD">
              <w:rPr>
                <w:rFonts w:ascii="Arial" w:hAnsi="Arial" w:cs="Arial"/>
              </w:rPr>
              <w:t>Fjerne bevilgningene til letevirksomhet gjennom statens direkte økonomiske engasjement</w:t>
            </w:r>
          </w:p>
        </w:tc>
        <w:tc>
          <w:tcPr>
            <w:tcW w:w="2126" w:type="dxa"/>
          </w:tcPr>
          <w:p w14:paraId="4EBF9FE8" w14:textId="64A81E06" w:rsidR="00A830D0" w:rsidRPr="00E22216" w:rsidRDefault="005A6C0C" w:rsidP="005A6C0C">
            <w:pPr>
              <w:rPr>
                <w:rFonts w:ascii="Arial" w:hAnsi="Arial" w:cs="Arial"/>
              </w:rPr>
            </w:pPr>
            <w:r w:rsidRPr="005A6C0C">
              <w:rPr>
                <w:rFonts w:ascii="Arial" w:hAnsi="Arial" w:cs="Arial"/>
              </w:rPr>
              <w:t>Kap. 5440, post 24</w:t>
            </w:r>
          </w:p>
        </w:tc>
        <w:tc>
          <w:tcPr>
            <w:tcW w:w="2829" w:type="dxa"/>
          </w:tcPr>
          <w:p w14:paraId="28665CB4" w14:textId="320089F5" w:rsidR="00A830D0" w:rsidRPr="00F92E5E" w:rsidRDefault="00F92E5E" w:rsidP="00F92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3410D6">
              <w:rPr>
                <w:rFonts w:ascii="Arial" w:hAnsi="Arial" w:cs="Arial"/>
              </w:rPr>
              <w:t>1 700 mill. kroner</w:t>
            </w:r>
          </w:p>
        </w:tc>
      </w:tr>
      <w:tr w:rsidR="00A830D0" w14:paraId="308AA7AA" w14:textId="77777777" w:rsidTr="00AA2942">
        <w:tc>
          <w:tcPr>
            <w:tcW w:w="4105" w:type="dxa"/>
          </w:tcPr>
          <w:p w14:paraId="02840B02" w14:textId="622CC159" w:rsidR="00A830D0" w:rsidRPr="00A830D0" w:rsidRDefault="008A01E9" w:rsidP="008A01E9">
            <w:pPr>
              <w:rPr>
                <w:rFonts w:ascii="Arial" w:hAnsi="Arial" w:cs="Arial"/>
              </w:rPr>
            </w:pPr>
            <w:r w:rsidRPr="008A01E9">
              <w:rPr>
                <w:rFonts w:ascii="Arial" w:hAnsi="Arial" w:cs="Arial"/>
              </w:rPr>
              <w:t>Innføre en omstillingsavgift på norsk olje- og gassproduksjon</w:t>
            </w:r>
          </w:p>
        </w:tc>
        <w:tc>
          <w:tcPr>
            <w:tcW w:w="2126" w:type="dxa"/>
          </w:tcPr>
          <w:p w14:paraId="1EA70B91" w14:textId="389D7D39" w:rsidR="00A830D0" w:rsidRPr="00E22216" w:rsidRDefault="00907474" w:rsidP="00E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Kap. 5500, ny post</w:t>
            </w:r>
          </w:p>
        </w:tc>
        <w:tc>
          <w:tcPr>
            <w:tcW w:w="2829" w:type="dxa"/>
          </w:tcPr>
          <w:p w14:paraId="09738A3B" w14:textId="7695F115" w:rsidR="00A830D0" w:rsidRDefault="004637D8" w:rsidP="00E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34 000 mill. kroner</w:t>
            </w:r>
          </w:p>
        </w:tc>
      </w:tr>
    </w:tbl>
    <w:p w14:paraId="14E3EFDB" w14:textId="77777777" w:rsidR="001839D2" w:rsidRDefault="001839D2" w:rsidP="00E458F7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39D2" w:rsidRPr="00EF524C" w14:paraId="3E2C0702" w14:textId="77777777" w:rsidTr="00AA2942">
        <w:tc>
          <w:tcPr>
            <w:tcW w:w="9060" w:type="dxa"/>
            <w:shd w:val="clear" w:color="auto" w:fill="FBE4D5" w:themeFill="accent2" w:themeFillTint="33"/>
          </w:tcPr>
          <w:p w14:paraId="07756839" w14:textId="77777777" w:rsidR="001839D2" w:rsidRPr="006C194E" w:rsidRDefault="001839D2" w:rsidP="00E458F7">
            <w:pPr>
              <w:rPr>
                <w:rFonts w:ascii="Arial" w:hAnsi="Arial" w:cs="Arial"/>
                <w:b/>
                <w:bCs/>
              </w:rPr>
            </w:pPr>
            <w:r w:rsidRPr="006C194E">
              <w:rPr>
                <w:rFonts w:ascii="Arial" w:hAnsi="Arial" w:cs="Arial"/>
                <w:b/>
                <w:bCs/>
              </w:rPr>
              <w:t>Verbalforslag:</w:t>
            </w:r>
          </w:p>
        </w:tc>
      </w:tr>
      <w:tr w:rsidR="00BB3BC7" w:rsidRPr="005B7FAD" w14:paraId="6C0DA792" w14:textId="77777777" w:rsidTr="00AA2942">
        <w:tc>
          <w:tcPr>
            <w:tcW w:w="9060" w:type="dxa"/>
          </w:tcPr>
          <w:p w14:paraId="3A15A953" w14:textId="312153D5" w:rsidR="00BB3BC7" w:rsidRPr="005B7FAD" w:rsidRDefault="00BB3BC7" w:rsidP="00BB3BC7">
            <w:pPr>
              <w:rPr>
                <w:rFonts w:ascii="Arial" w:hAnsi="Arial" w:cs="Arial"/>
              </w:rPr>
            </w:pPr>
            <w:r w:rsidRPr="00805264">
              <w:rPr>
                <w:rFonts w:ascii="Arial" w:hAnsi="Arial" w:cs="Arial"/>
              </w:rPr>
              <w:t>Det godkjennes ikke flere utbyggingsplaner på norsk sokkel, av hensyn til natur og klima.</w:t>
            </w:r>
          </w:p>
        </w:tc>
      </w:tr>
      <w:tr w:rsidR="00BB3BC7" w:rsidRPr="005B7FAD" w14:paraId="270B8534" w14:textId="77777777" w:rsidTr="00AA2942">
        <w:tc>
          <w:tcPr>
            <w:tcW w:w="9060" w:type="dxa"/>
          </w:tcPr>
          <w:p w14:paraId="62E284BF" w14:textId="7813ACD9" w:rsidR="00BB3BC7" w:rsidRPr="005B7FAD" w:rsidRDefault="000F2922" w:rsidP="000F2922">
            <w:pPr>
              <w:rPr>
                <w:rFonts w:ascii="Arial" w:hAnsi="Arial" w:cs="Arial"/>
              </w:rPr>
            </w:pPr>
            <w:r w:rsidRPr="000F2922">
              <w:rPr>
                <w:rFonts w:ascii="Arial" w:hAnsi="Arial" w:cs="Arial"/>
              </w:rPr>
              <w:t>Tildelingen av nye letelisenser på norsk sokkel stanses</w:t>
            </w:r>
            <w:r w:rsidR="008A4816">
              <w:rPr>
                <w:rFonts w:ascii="Arial" w:hAnsi="Arial" w:cs="Arial"/>
              </w:rPr>
              <w:t xml:space="preserve">; </w:t>
            </w:r>
            <w:r w:rsidRPr="000F2922">
              <w:rPr>
                <w:rFonts w:ascii="Arial" w:hAnsi="Arial" w:cs="Arial"/>
              </w:rPr>
              <w:t>både TFO og nummererte konsesjonsrunder.</w:t>
            </w:r>
          </w:p>
        </w:tc>
      </w:tr>
    </w:tbl>
    <w:p w14:paraId="02CE4963" w14:textId="22B6B609" w:rsidR="00D27FD5" w:rsidRDefault="00D27FD5" w:rsidP="00E458F7">
      <w:pPr>
        <w:spacing w:after="0" w:line="240" w:lineRule="auto"/>
        <w:rPr>
          <w:rFonts w:ascii="Arial" w:hAnsi="Arial" w:cs="Arial"/>
        </w:rPr>
      </w:pPr>
    </w:p>
    <w:p w14:paraId="07A41B87" w14:textId="22FD4208" w:rsidR="008A4816" w:rsidRPr="008A4816" w:rsidRDefault="008A4816" w:rsidP="008A4816">
      <w:pPr>
        <w:spacing w:after="0" w:line="240" w:lineRule="auto"/>
        <w:rPr>
          <w:rFonts w:ascii="Arial" w:hAnsi="Arial" w:cs="Arial"/>
        </w:rPr>
      </w:pPr>
      <w:r w:rsidRPr="008A4816">
        <w:rPr>
          <w:rFonts w:ascii="Arial" w:hAnsi="Arial" w:cs="Arial"/>
        </w:rPr>
        <w:t>Verden er i klimakrise</w:t>
      </w:r>
      <w:r w:rsidR="00BF2AD6">
        <w:rPr>
          <w:rFonts w:ascii="Arial" w:hAnsi="Arial" w:cs="Arial"/>
        </w:rPr>
        <w:t>,</w:t>
      </w:r>
      <w:r w:rsidRPr="008A4816">
        <w:rPr>
          <w:rFonts w:ascii="Arial" w:hAnsi="Arial" w:cs="Arial"/>
        </w:rPr>
        <w:t xml:space="preserve"> og enhver ny olje</w:t>
      </w:r>
      <w:r w:rsidR="00BF2AD6">
        <w:rPr>
          <w:rFonts w:ascii="Arial" w:hAnsi="Arial" w:cs="Arial"/>
        </w:rPr>
        <w:t>-</w:t>
      </w:r>
      <w:r w:rsidRPr="008A4816">
        <w:rPr>
          <w:rFonts w:ascii="Arial" w:hAnsi="Arial" w:cs="Arial"/>
        </w:rPr>
        <w:t xml:space="preserve"> og gassutbygging på norsk sokkel hindrer oss i å begrense den globale oppvarmingen til 1,5 grader. Vi er</w:t>
      </w:r>
      <w:r w:rsidR="00BF2AD6">
        <w:rPr>
          <w:rFonts w:ascii="Arial" w:hAnsi="Arial" w:cs="Arial"/>
        </w:rPr>
        <w:t xml:space="preserve"> derfor</w:t>
      </w:r>
      <w:r w:rsidRPr="008A4816">
        <w:rPr>
          <w:rFonts w:ascii="Arial" w:hAnsi="Arial" w:cs="Arial"/>
        </w:rPr>
        <w:t xml:space="preserve"> nødt til å omstille den norske økonomien fra en oljeavhengig økonomi til en nullutslippsøkonomi. For å klare dette er vi nødt til å redusere aktiviteten i olje</w:t>
      </w:r>
      <w:r w:rsidR="0051053E">
        <w:rPr>
          <w:rFonts w:ascii="Arial" w:hAnsi="Arial" w:cs="Arial"/>
        </w:rPr>
        <w:t>-</w:t>
      </w:r>
      <w:r w:rsidRPr="008A4816">
        <w:rPr>
          <w:rFonts w:ascii="Arial" w:hAnsi="Arial" w:cs="Arial"/>
        </w:rPr>
        <w:t xml:space="preserve"> og gassnæringen, og </w:t>
      </w:r>
      <w:r w:rsidR="0051053E">
        <w:rPr>
          <w:rFonts w:ascii="Arial" w:hAnsi="Arial" w:cs="Arial"/>
        </w:rPr>
        <w:t xml:space="preserve">samtidig </w:t>
      </w:r>
      <w:r w:rsidRPr="008A4816">
        <w:rPr>
          <w:rFonts w:ascii="Arial" w:hAnsi="Arial" w:cs="Arial"/>
        </w:rPr>
        <w:t>bygge opp alternative og grønne næringer som kan sikre arbeidsplasser og eksportinntekter også forbi 2050.</w:t>
      </w:r>
    </w:p>
    <w:p w14:paraId="3DC0B7E6" w14:textId="77777777" w:rsidR="008A4816" w:rsidRPr="008A4816" w:rsidRDefault="008A4816" w:rsidP="008A4816">
      <w:pPr>
        <w:spacing w:after="0" w:line="240" w:lineRule="auto"/>
        <w:rPr>
          <w:rFonts w:ascii="Arial" w:hAnsi="Arial" w:cs="Arial"/>
        </w:rPr>
      </w:pPr>
    </w:p>
    <w:p w14:paraId="255BD2B1" w14:textId="72C2F133" w:rsidR="008A4816" w:rsidRPr="008A4816" w:rsidRDefault="008A4816" w:rsidP="008A4816">
      <w:pPr>
        <w:spacing w:after="0" w:line="240" w:lineRule="auto"/>
        <w:rPr>
          <w:rFonts w:ascii="Arial" w:hAnsi="Arial" w:cs="Arial"/>
        </w:rPr>
      </w:pPr>
      <w:r w:rsidRPr="008A4816">
        <w:rPr>
          <w:rFonts w:ascii="Arial" w:hAnsi="Arial" w:cs="Arial"/>
        </w:rPr>
        <w:t>Oljeskattepakk</w:t>
      </w:r>
      <w:r w:rsidR="00326AF2">
        <w:rPr>
          <w:rFonts w:ascii="Arial" w:hAnsi="Arial" w:cs="Arial"/>
        </w:rPr>
        <w:t>en</w:t>
      </w:r>
      <w:r w:rsidRPr="008A4816">
        <w:rPr>
          <w:rFonts w:ascii="Arial" w:hAnsi="Arial" w:cs="Arial"/>
        </w:rPr>
        <w:t xml:space="preserve"> har ført til et voldsomt utbyggingspress på norsk sokkel. Dette </w:t>
      </w:r>
      <w:r w:rsidR="00A11F61">
        <w:rPr>
          <w:rFonts w:ascii="Arial" w:hAnsi="Arial" w:cs="Arial"/>
        </w:rPr>
        <w:t>skyldes at</w:t>
      </w:r>
      <w:r w:rsidRPr="008A4816">
        <w:rPr>
          <w:rFonts w:ascii="Arial" w:hAnsi="Arial" w:cs="Arial"/>
        </w:rPr>
        <w:t xml:space="preserve"> staten dekket over 90 prosent av investeringskostnadene på grunn av den ekstraordinære friinntekten. Til tross for at denne ble nedjustert i statsbudsjettet for 2023, har oljeskattepakk</w:t>
      </w:r>
      <w:r w:rsidR="00326AF2">
        <w:rPr>
          <w:rFonts w:ascii="Arial" w:hAnsi="Arial" w:cs="Arial"/>
        </w:rPr>
        <w:t>en</w:t>
      </w:r>
      <w:r w:rsidRPr="008A4816">
        <w:rPr>
          <w:rFonts w:ascii="Arial" w:hAnsi="Arial" w:cs="Arial"/>
        </w:rPr>
        <w:t xml:space="preserve"> likevel resultert i et rekordhøyt antall søknader om nye utbygginger på norsk sokkel. I </w:t>
      </w:r>
      <w:hyperlink r:id="rId8" w:history="1">
        <w:r w:rsidRPr="008A4816">
          <w:rPr>
            <w:rStyle w:val="Hyperkobling"/>
            <w:rFonts w:ascii="Arial" w:hAnsi="Arial" w:cs="Arial"/>
          </w:rPr>
          <w:t>NOU 2022:20</w:t>
        </w:r>
      </w:hyperlink>
      <w:r w:rsidRPr="008A4816">
        <w:rPr>
          <w:rFonts w:ascii="Arial" w:hAnsi="Arial" w:cs="Arial"/>
        </w:rPr>
        <w:t xml:space="preserve"> skriver skatteutvalget at oljeskattepakken bidrar til at prosjekter som er ulønnsomme før skatt blir lønnsomme etter skatt, og anbefaler</w:t>
      </w:r>
      <w:r w:rsidR="00231D6E">
        <w:rPr>
          <w:rFonts w:ascii="Arial" w:hAnsi="Arial" w:cs="Arial"/>
        </w:rPr>
        <w:t xml:space="preserve"> derfor</w:t>
      </w:r>
      <w:r w:rsidRPr="008A4816">
        <w:rPr>
          <w:rFonts w:ascii="Arial" w:hAnsi="Arial" w:cs="Arial"/>
        </w:rPr>
        <w:t xml:space="preserve"> staten å stramme inn de midlertidige reglene gjennom en reduksjon eller utfasing av friinntekten. Utvalget anbefaler at dette skjer så raskt som mulig.</w:t>
      </w:r>
    </w:p>
    <w:p w14:paraId="4EAE8580" w14:textId="77777777" w:rsidR="008A4816" w:rsidRPr="008A4816" w:rsidRDefault="008A4816" w:rsidP="008A4816">
      <w:pPr>
        <w:spacing w:after="0" w:line="240" w:lineRule="auto"/>
        <w:rPr>
          <w:rFonts w:ascii="Arial" w:hAnsi="Arial" w:cs="Arial"/>
        </w:rPr>
      </w:pPr>
    </w:p>
    <w:p w14:paraId="184457FE" w14:textId="39B80863" w:rsidR="008A4816" w:rsidRPr="008A4816" w:rsidRDefault="008A4816" w:rsidP="008A4816">
      <w:pPr>
        <w:spacing w:after="0" w:line="240" w:lineRule="auto"/>
        <w:rPr>
          <w:rFonts w:ascii="Arial" w:hAnsi="Arial" w:cs="Arial"/>
        </w:rPr>
      </w:pPr>
      <w:r w:rsidRPr="008A4816">
        <w:rPr>
          <w:rFonts w:ascii="Arial" w:hAnsi="Arial" w:cs="Arial"/>
        </w:rPr>
        <w:t>Den massive tilførselen av subsidier til oljenæringen gjennom oljeskattepakk</w:t>
      </w:r>
      <w:r w:rsidR="0058745C">
        <w:rPr>
          <w:rFonts w:ascii="Arial" w:hAnsi="Arial" w:cs="Arial"/>
        </w:rPr>
        <w:t>en</w:t>
      </w:r>
      <w:r w:rsidRPr="008A4816">
        <w:rPr>
          <w:rFonts w:ascii="Arial" w:hAnsi="Arial" w:cs="Arial"/>
        </w:rPr>
        <w:t xml:space="preserve"> har ført til at Norge </w:t>
      </w:r>
      <w:r w:rsidR="0007299C">
        <w:rPr>
          <w:rFonts w:ascii="Arial" w:hAnsi="Arial" w:cs="Arial"/>
        </w:rPr>
        <w:t xml:space="preserve">i praksis </w:t>
      </w:r>
      <w:r w:rsidRPr="008A4816">
        <w:rPr>
          <w:rFonts w:ascii="Arial" w:hAnsi="Arial" w:cs="Arial"/>
        </w:rPr>
        <w:t xml:space="preserve">er mindre omstillingsdyktige nå i 2023, enn ved oljeprisfallet i 2020. Det høye utbyggingspresset har bidratt til kostnadsvekst og lønnsvekst i oljebransjen. Dette </w:t>
      </w:r>
      <w:hyperlink r:id="rId9">
        <w:r w:rsidRPr="008A4816">
          <w:rPr>
            <w:rStyle w:val="Hyperkobling"/>
            <w:rFonts w:ascii="Arial" w:hAnsi="Arial" w:cs="Arial"/>
          </w:rPr>
          <w:t>er dårlige nyheter</w:t>
        </w:r>
      </w:hyperlink>
      <w:r w:rsidRPr="008A4816">
        <w:rPr>
          <w:rFonts w:ascii="Arial" w:hAnsi="Arial" w:cs="Arial"/>
        </w:rPr>
        <w:t xml:space="preserve"> for andre næringer som for eksempel innen havvind, som ikke klarer å konkurrere med de lønnsvilkårene oljebransjen tilbyr. Det er også en utfordring for oljearbeiderne som har mistet jobben ved tidligere oljeprisfall </w:t>
      </w:r>
      <w:r w:rsidR="000D43DC">
        <w:rPr>
          <w:rFonts w:ascii="Arial" w:hAnsi="Arial" w:cs="Arial"/>
        </w:rPr>
        <w:t xml:space="preserve">og </w:t>
      </w:r>
      <w:r w:rsidRPr="008A4816">
        <w:rPr>
          <w:rFonts w:ascii="Arial" w:hAnsi="Arial" w:cs="Arial"/>
        </w:rPr>
        <w:t>som nå trekkes tilbake til bransjen</w:t>
      </w:r>
      <w:r w:rsidR="000D43DC">
        <w:rPr>
          <w:rFonts w:ascii="Arial" w:hAnsi="Arial" w:cs="Arial"/>
        </w:rPr>
        <w:t>;</w:t>
      </w:r>
      <w:r w:rsidRPr="008A4816">
        <w:rPr>
          <w:rFonts w:ascii="Arial" w:hAnsi="Arial" w:cs="Arial"/>
        </w:rPr>
        <w:t xml:space="preserve"> bare for å være like utsatt for å </w:t>
      </w:r>
      <w:r w:rsidR="001A5DD6">
        <w:rPr>
          <w:rFonts w:ascii="Arial" w:hAnsi="Arial" w:cs="Arial"/>
        </w:rPr>
        <w:t>bli arbeidsløse</w:t>
      </w:r>
      <w:r w:rsidRPr="008A4816">
        <w:rPr>
          <w:rFonts w:ascii="Arial" w:hAnsi="Arial" w:cs="Arial"/>
        </w:rPr>
        <w:t xml:space="preserve"> neste gangen oljeprisen faller. Disse </w:t>
      </w:r>
      <w:r w:rsidR="001A5DD6">
        <w:rPr>
          <w:rFonts w:ascii="Arial" w:hAnsi="Arial" w:cs="Arial"/>
        </w:rPr>
        <w:t>arbeidstakerne</w:t>
      </w:r>
      <w:r w:rsidRPr="008A4816">
        <w:rPr>
          <w:rFonts w:ascii="Arial" w:hAnsi="Arial" w:cs="Arial"/>
        </w:rPr>
        <w:t xml:space="preserve"> trenger en langsiktig plan for å komme over </w:t>
      </w:r>
      <w:r w:rsidR="001A5DD6">
        <w:rPr>
          <w:rFonts w:ascii="Arial" w:hAnsi="Arial" w:cs="Arial"/>
        </w:rPr>
        <w:t>til</w:t>
      </w:r>
      <w:r w:rsidRPr="008A4816">
        <w:rPr>
          <w:rFonts w:ascii="Arial" w:hAnsi="Arial" w:cs="Arial"/>
        </w:rPr>
        <w:t xml:space="preserve"> trygge og stabile jobber i andre næringer.  </w:t>
      </w:r>
    </w:p>
    <w:p w14:paraId="10F0729C" w14:textId="77777777" w:rsidR="008A4816" w:rsidRPr="008A4816" w:rsidRDefault="008A4816" w:rsidP="008A4816">
      <w:pPr>
        <w:spacing w:after="0" w:line="240" w:lineRule="auto"/>
        <w:rPr>
          <w:rFonts w:ascii="Arial" w:hAnsi="Arial" w:cs="Arial"/>
        </w:rPr>
      </w:pPr>
    </w:p>
    <w:p w14:paraId="30A64EA7" w14:textId="493E04BF" w:rsidR="008A4816" w:rsidRPr="008A4816" w:rsidRDefault="008A4816" w:rsidP="00930BBA">
      <w:pPr>
        <w:spacing w:after="0" w:line="240" w:lineRule="auto"/>
        <w:rPr>
          <w:rFonts w:ascii="Arial" w:hAnsi="Arial" w:cs="Arial"/>
        </w:rPr>
      </w:pPr>
      <w:r w:rsidRPr="008A4816">
        <w:rPr>
          <w:rFonts w:ascii="Arial" w:hAnsi="Arial" w:cs="Arial"/>
        </w:rPr>
        <w:t xml:space="preserve">WWF mener </w:t>
      </w:r>
      <w:r w:rsidR="001A5DD6">
        <w:rPr>
          <w:rFonts w:ascii="Arial" w:hAnsi="Arial" w:cs="Arial"/>
        </w:rPr>
        <w:t xml:space="preserve">derfor </w:t>
      </w:r>
      <w:r w:rsidRPr="008A4816">
        <w:rPr>
          <w:rFonts w:ascii="Arial" w:hAnsi="Arial" w:cs="Arial"/>
        </w:rPr>
        <w:t>at det er på høy tid at regjeringen tar</w:t>
      </w:r>
      <w:r w:rsidR="001A5DD6">
        <w:rPr>
          <w:rFonts w:ascii="Arial" w:hAnsi="Arial" w:cs="Arial"/>
        </w:rPr>
        <w:t xml:space="preserve"> større</w:t>
      </w:r>
      <w:r w:rsidRPr="008A4816">
        <w:rPr>
          <w:rFonts w:ascii="Arial" w:hAnsi="Arial" w:cs="Arial"/>
        </w:rPr>
        <w:t xml:space="preserve"> grep for å nå klimamålene og</w:t>
      </w:r>
      <w:r w:rsidR="001A5DD6">
        <w:rPr>
          <w:rFonts w:ascii="Arial" w:hAnsi="Arial" w:cs="Arial"/>
        </w:rPr>
        <w:t xml:space="preserve"> å</w:t>
      </w:r>
      <w:r w:rsidRPr="008A4816">
        <w:rPr>
          <w:rFonts w:ascii="Arial" w:hAnsi="Arial" w:cs="Arial"/>
        </w:rPr>
        <w:t xml:space="preserve"> bedre omstillingsevnen i norsk økonomi</w:t>
      </w:r>
      <w:r w:rsidR="001A5DD6">
        <w:rPr>
          <w:rFonts w:ascii="Arial" w:hAnsi="Arial" w:cs="Arial"/>
        </w:rPr>
        <w:t>;</w:t>
      </w:r>
      <w:r w:rsidRPr="008A4816">
        <w:rPr>
          <w:rFonts w:ascii="Arial" w:hAnsi="Arial" w:cs="Arial"/>
        </w:rPr>
        <w:t xml:space="preserve"> ved å redusere aktiviteten i oljebransjen. Vi foreslår</w:t>
      </w:r>
      <w:r w:rsidR="001A5DD6">
        <w:rPr>
          <w:rFonts w:ascii="Arial" w:hAnsi="Arial" w:cs="Arial"/>
        </w:rPr>
        <w:t xml:space="preserve"> dermed</w:t>
      </w:r>
      <w:r w:rsidRPr="008A4816">
        <w:rPr>
          <w:rFonts w:ascii="Arial" w:hAnsi="Arial" w:cs="Arial"/>
        </w:rPr>
        <w:t xml:space="preserve"> følgende tiltak: </w:t>
      </w:r>
    </w:p>
    <w:p w14:paraId="77241B3B" w14:textId="77777777" w:rsidR="008A4816" w:rsidRPr="008A4816" w:rsidRDefault="008A4816" w:rsidP="008A4816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A4816">
        <w:rPr>
          <w:rFonts w:ascii="Arial" w:hAnsi="Arial" w:cs="Arial"/>
        </w:rPr>
        <w:t>Friinntekten i det midlertidige oljeskatteregimet fjernes umiddelbart, i tråd med skatteutvalgets anbefalinger. WWF har benyttet tall fra Rystad Energy og funnet at ved å avvikle oljeskattepakka fra 1. januar 2023 kan staten spare 24 milliarder kroner i skattefradrag.</w:t>
      </w:r>
    </w:p>
    <w:p w14:paraId="3F3599F9" w14:textId="11DC4069" w:rsidR="008A4816" w:rsidRPr="008A4816" w:rsidRDefault="008A4816" w:rsidP="008A4816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A4816">
        <w:rPr>
          <w:rFonts w:ascii="Arial" w:hAnsi="Arial" w:cs="Arial"/>
        </w:rPr>
        <w:t>Det innføres en omstillingsavgift per produserte fat med olje og gass, som øremerkes til Enova</w:t>
      </w:r>
      <w:r w:rsidR="00F11202">
        <w:rPr>
          <w:rFonts w:ascii="Arial" w:hAnsi="Arial" w:cs="Arial"/>
        </w:rPr>
        <w:t>fondet</w:t>
      </w:r>
      <w:r w:rsidRPr="008A4816">
        <w:rPr>
          <w:rFonts w:ascii="Arial" w:hAnsi="Arial" w:cs="Arial"/>
        </w:rPr>
        <w:t>, hvor midlene tildeles tiltak som kan bygge opp nye grønne næringer og redusere utslipp i Norge. Dette bør inkludere havvind, grønt hydrogen og nullutslippsløsninger i fastlandsøkonomien.</w:t>
      </w:r>
    </w:p>
    <w:p w14:paraId="04E91B4F" w14:textId="41087526" w:rsidR="008A4816" w:rsidRPr="008A4816" w:rsidRDefault="008A4816" w:rsidP="008A4816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A4816">
        <w:rPr>
          <w:rFonts w:ascii="Arial" w:hAnsi="Arial" w:cs="Arial"/>
        </w:rPr>
        <w:t xml:space="preserve">Støtten til ny letevirksomhet på norsk sokkel gjennom SDØE avsluttes. Besparelsen ved å kutte denne posten vil være 1700 mill. kroner </w:t>
      </w:r>
    </w:p>
    <w:sectPr w:rsidR="008A4816" w:rsidRPr="008A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3A4"/>
    <w:multiLevelType w:val="hybridMultilevel"/>
    <w:tmpl w:val="E12AB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EEB"/>
    <w:multiLevelType w:val="hybridMultilevel"/>
    <w:tmpl w:val="854C1756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2964"/>
    <w:multiLevelType w:val="hybridMultilevel"/>
    <w:tmpl w:val="39FE1E48"/>
    <w:lvl w:ilvl="0" w:tplc="1EAC1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7771"/>
    <w:multiLevelType w:val="hybridMultilevel"/>
    <w:tmpl w:val="FFFFFFFF"/>
    <w:lvl w:ilvl="0" w:tplc="E010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012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43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45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6D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6D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C5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2F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2B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34FD7"/>
    <w:multiLevelType w:val="hybridMultilevel"/>
    <w:tmpl w:val="47668F76"/>
    <w:lvl w:ilvl="0" w:tplc="357405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AF3455"/>
    <w:multiLevelType w:val="hybridMultilevel"/>
    <w:tmpl w:val="2ED4E3C0"/>
    <w:lvl w:ilvl="0" w:tplc="F78EBB62">
      <w:start w:val="1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63A0"/>
    <w:multiLevelType w:val="hybridMultilevel"/>
    <w:tmpl w:val="6E20235E"/>
    <w:lvl w:ilvl="0" w:tplc="242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690C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F86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AD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EF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8A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68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86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C8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B75A5"/>
    <w:multiLevelType w:val="hybridMultilevel"/>
    <w:tmpl w:val="DECA9E60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A7078"/>
    <w:multiLevelType w:val="hybridMultilevel"/>
    <w:tmpl w:val="EACE680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367FCF"/>
    <w:multiLevelType w:val="hybridMultilevel"/>
    <w:tmpl w:val="10EC7AF8"/>
    <w:lvl w:ilvl="0" w:tplc="9EA6AFA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A58FB"/>
    <w:multiLevelType w:val="hybridMultilevel"/>
    <w:tmpl w:val="B1A48DC0"/>
    <w:lvl w:ilvl="0" w:tplc="87983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5605B"/>
    <w:multiLevelType w:val="hybridMultilevel"/>
    <w:tmpl w:val="952C254E"/>
    <w:lvl w:ilvl="0" w:tplc="5B50A37E">
      <w:start w:val="19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86474">
    <w:abstractNumId w:val="5"/>
  </w:num>
  <w:num w:numId="2" w16cid:durableId="1848250249">
    <w:abstractNumId w:val="10"/>
  </w:num>
  <w:num w:numId="3" w16cid:durableId="796139584">
    <w:abstractNumId w:val="1"/>
  </w:num>
  <w:num w:numId="4" w16cid:durableId="1244801460">
    <w:abstractNumId w:val="6"/>
  </w:num>
  <w:num w:numId="5" w16cid:durableId="1463382161">
    <w:abstractNumId w:val="3"/>
  </w:num>
  <w:num w:numId="6" w16cid:durableId="472603211">
    <w:abstractNumId w:val="4"/>
  </w:num>
  <w:num w:numId="7" w16cid:durableId="1729037203">
    <w:abstractNumId w:val="7"/>
  </w:num>
  <w:num w:numId="8" w16cid:durableId="326828806">
    <w:abstractNumId w:val="2"/>
  </w:num>
  <w:num w:numId="9" w16cid:durableId="951595457">
    <w:abstractNumId w:val="8"/>
  </w:num>
  <w:num w:numId="10" w16cid:durableId="586112126">
    <w:abstractNumId w:val="9"/>
  </w:num>
  <w:num w:numId="11" w16cid:durableId="631904705">
    <w:abstractNumId w:val="11"/>
  </w:num>
  <w:num w:numId="12" w16cid:durableId="13861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8"/>
    <w:rsid w:val="00001500"/>
    <w:rsid w:val="00007801"/>
    <w:rsid w:val="00035BDC"/>
    <w:rsid w:val="00037127"/>
    <w:rsid w:val="0004218D"/>
    <w:rsid w:val="00042697"/>
    <w:rsid w:val="00045C5A"/>
    <w:rsid w:val="00051BC2"/>
    <w:rsid w:val="0005200C"/>
    <w:rsid w:val="00055AAF"/>
    <w:rsid w:val="000605D0"/>
    <w:rsid w:val="0007299C"/>
    <w:rsid w:val="0007724E"/>
    <w:rsid w:val="00077AC2"/>
    <w:rsid w:val="00086434"/>
    <w:rsid w:val="00090916"/>
    <w:rsid w:val="000A4FC6"/>
    <w:rsid w:val="000C10AD"/>
    <w:rsid w:val="000C48D7"/>
    <w:rsid w:val="000C6C41"/>
    <w:rsid w:val="000D43DC"/>
    <w:rsid w:val="000F045E"/>
    <w:rsid w:val="000F2922"/>
    <w:rsid w:val="000F7D56"/>
    <w:rsid w:val="001132E0"/>
    <w:rsid w:val="00113E87"/>
    <w:rsid w:val="001174DD"/>
    <w:rsid w:val="001303E3"/>
    <w:rsid w:val="0014632D"/>
    <w:rsid w:val="00152BF0"/>
    <w:rsid w:val="001583AF"/>
    <w:rsid w:val="00165E3E"/>
    <w:rsid w:val="001662EE"/>
    <w:rsid w:val="00170410"/>
    <w:rsid w:val="00171E87"/>
    <w:rsid w:val="00173140"/>
    <w:rsid w:val="00173C4A"/>
    <w:rsid w:val="00182AE1"/>
    <w:rsid w:val="001836DC"/>
    <w:rsid w:val="001839D2"/>
    <w:rsid w:val="001919DB"/>
    <w:rsid w:val="0019204A"/>
    <w:rsid w:val="001975D7"/>
    <w:rsid w:val="001A1779"/>
    <w:rsid w:val="001A5C8B"/>
    <w:rsid w:val="001A5DD6"/>
    <w:rsid w:val="001B2164"/>
    <w:rsid w:val="001B275F"/>
    <w:rsid w:val="001B3E01"/>
    <w:rsid w:val="001C1A00"/>
    <w:rsid w:val="001C1F1E"/>
    <w:rsid w:val="001E6124"/>
    <w:rsid w:val="001F1865"/>
    <w:rsid w:val="001F256E"/>
    <w:rsid w:val="00204CDE"/>
    <w:rsid w:val="002123B4"/>
    <w:rsid w:val="002143B5"/>
    <w:rsid w:val="00214CD0"/>
    <w:rsid w:val="002223CA"/>
    <w:rsid w:val="0022543F"/>
    <w:rsid w:val="00231D6E"/>
    <w:rsid w:val="0024152E"/>
    <w:rsid w:val="00264772"/>
    <w:rsid w:val="0026734B"/>
    <w:rsid w:val="002704E4"/>
    <w:rsid w:val="002757E7"/>
    <w:rsid w:val="002813CF"/>
    <w:rsid w:val="00284FAA"/>
    <w:rsid w:val="00285D6D"/>
    <w:rsid w:val="00291283"/>
    <w:rsid w:val="00293699"/>
    <w:rsid w:val="00295D28"/>
    <w:rsid w:val="00296B13"/>
    <w:rsid w:val="002B075A"/>
    <w:rsid w:val="002B6317"/>
    <w:rsid w:val="002B74C7"/>
    <w:rsid w:val="002C21B7"/>
    <w:rsid w:val="002C4E48"/>
    <w:rsid w:val="002C774F"/>
    <w:rsid w:val="002D3020"/>
    <w:rsid w:val="002E6ABD"/>
    <w:rsid w:val="002F4221"/>
    <w:rsid w:val="0031062D"/>
    <w:rsid w:val="003178FC"/>
    <w:rsid w:val="00326AF2"/>
    <w:rsid w:val="00326F08"/>
    <w:rsid w:val="00330D4C"/>
    <w:rsid w:val="003410D6"/>
    <w:rsid w:val="0034167E"/>
    <w:rsid w:val="00351718"/>
    <w:rsid w:val="0036288D"/>
    <w:rsid w:val="0036325D"/>
    <w:rsid w:val="00365D68"/>
    <w:rsid w:val="003770EA"/>
    <w:rsid w:val="00381330"/>
    <w:rsid w:val="003821A8"/>
    <w:rsid w:val="003B61F1"/>
    <w:rsid w:val="003E0355"/>
    <w:rsid w:val="003E1F60"/>
    <w:rsid w:val="003E57A1"/>
    <w:rsid w:val="003E5D69"/>
    <w:rsid w:val="003F3ABF"/>
    <w:rsid w:val="003F46D9"/>
    <w:rsid w:val="00400255"/>
    <w:rsid w:val="00407D93"/>
    <w:rsid w:val="00416D47"/>
    <w:rsid w:val="00427905"/>
    <w:rsid w:val="00427A09"/>
    <w:rsid w:val="00446536"/>
    <w:rsid w:val="0044784F"/>
    <w:rsid w:val="00450DB6"/>
    <w:rsid w:val="00455CDC"/>
    <w:rsid w:val="004637D8"/>
    <w:rsid w:val="004805FD"/>
    <w:rsid w:val="00486506"/>
    <w:rsid w:val="004876DC"/>
    <w:rsid w:val="004951F0"/>
    <w:rsid w:val="004C1F11"/>
    <w:rsid w:val="004C5FEA"/>
    <w:rsid w:val="004D4019"/>
    <w:rsid w:val="004D50C6"/>
    <w:rsid w:val="004D74E8"/>
    <w:rsid w:val="004D750E"/>
    <w:rsid w:val="004E0FA5"/>
    <w:rsid w:val="004E3BFE"/>
    <w:rsid w:val="004F007B"/>
    <w:rsid w:val="005002A1"/>
    <w:rsid w:val="0051053E"/>
    <w:rsid w:val="00524234"/>
    <w:rsid w:val="005347B7"/>
    <w:rsid w:val="00534F58"/>
    <w:rsid w:val="00535BAE"/>
    <w:rsid w:val="00545AA3"/>
    <w:rsid w:val="00551161"/>
    <w:rsid w:val="00552E78"/>
    <w:rsid w:val="00566C0D"/>
    <w:rsid w:val="0057613D"/>
    <w:rsid w:val="0058745C"/>
    <w:rsid w:val="00591D93"/>
    <w:rsid w:val="005954D7"/>
    <w:rsid w:val="005A36D0"/>
    <w:rsid w:val="005A5757"/>
    <w:rsid w:val="005A6C0C"/>
    <w:rsid w:val="005B3024"/>
    <w:rsid w:val="005B5386"/>
    <w:rsid w:val="005D3DF9"/>
    <w:rsid w:val="005D4211"/>
    <w:rsid w:val="005E5CF9"/>
    <w:rsid w:val="005F1F2A"/>
    <w:rsid w:val="005F5997"/>
    <w:rsid w:val="00600C77"/>
    <w:rsid w:val="00610DFA"/>
    <w:rsid w:val="00613355"/>
    <w:rsid w:val="00613DA4"/>
    <w:rsid w:val="00620576"/>
    <w:rsid w:val="0063304E"/>
    <w:rsid w:val="006400AD"/>
    <w:rsid w:val="00640D56"/>
    <w:rsid w:val="00642213"/>
    <w:rsid w:val="00646121"/>
    <w:rsid w:val="006461E8"/>
    <w:rsid w:val="00647228"/>
    <w:rsid w:val="00653F96"/>
    <w:rsid w:val="00676B4D"/>
    <w:rsid w:val="00683E90"/>
    <w:rsid w:val="006908AA"/>
    <w:rsid w:val="0069155C"/>
    <w:rsid w:val="00691895"/>
    <w:rsid w:val="0069714B"/>
    <w:rsid w:val="006976F8"/>
    <w:rsid w:val="006A1E94"/>
    <w:rsid w:val="006A6638"/>
    <w:rsid w:val="006B3517"/>
    <w:rsid w:val="006D674D"/>
    <w:rsid w:val="006D7C78"/>
    <w:rsid w:val="006E62C3"/>
    <w:rsid w:val="006F054E"/>
    <w:rsid w:val="006F31C2"/>
    <w:rsid w:val="0070226D"/>
    <w:rsid w:val="00707020"/>
    <w:rsid w:val="00711A44"/>
    <w:rsid w:val="00712FC7"/>
    <w:rsid w:val="00722839"/>
    <w:rsid w:val="00723097"/>
    <w:rsid w:val="007268EF"/>
    <w:rsid w:val="00734F6B"/>
    <w:rsid w:val="007422BF"/>
    <w:rsid w:val="007532F2"/>
    <w:rsid w:val="00756B00"/>
    <w:rsid w:val="007673E6"/>
    <w:rsid w:val="00782C74"/>
    <w:rsid w:val="00783408"/>
    <w:rsid w:val="00784F95"/>
    <w:rsid w:val="007854FD"/>
    <w:rsid w:val="00790A85"/>
    <w:rsid w:val="00791FF9"/>
    <w:rsid w:val="007A0363"/>
    <w:rsid w:val="007A0D7F"/>
    <w:rsid w:val="007A6EE9"/>
    <w:rsid w:val="007B5813"/>
    <w:rsid w:val="007B58F2"/>
    <w:rsid w:val="007B6ADF"/>
    <w:rsid w:val="007B7961"/>
    <w:rsid w:val="007C03B5"/>
    <w:rsid w:val="007C192D"/>
    <w:rsid w:val="007E0DE9"/>
    <w:rsid w:val="007E0F98"/>
    <w:rsid w:val="007F5ED1"/>
    <w:rsid w:val="008018DD"/>
    <w:rsid w:val="008055BA"/>
    <w:rsid w:val="0081048B"/>
    <w:rsid w:val="008163F4"/>
    <w:rsid w:val="0082045F"/>
    <w:rsid w:val="00826FA7"/>
    <w:rsid w:val="00837AC4"/>
    <w:rsid w:val="008464B5"/>
    <w:rsid w:val="00847E2A"/>
    <w:rsid w:val="00870603"/>
    <w:rsid w:val="00870DB2"/>
    <w:rsid w:val="00872079"/>
    <w:rsid w:val="00877F2A"/>
    <w:rsid w:val="008804D1"/>
    <w:rsid w:val="008841E8"/>
    <w:rsid w:val="00887BA3"/>
    <w:rsid w:val="008911F4"/>
    <w:rsid w:val="0089254D"/>
    <w:rsid w:val="00895B16"/>
    <w:rsid w:val="008A01E9"/>
    <w:rsid w:val="008A4816"/>
    <w:rsid w:val="008B0D10"/>
    <w:rsid w:val="008B6D77"/>
    <w:rsid w:val="008C018E"/>
    <w:rsid w:val="008C7A50"/>
    <w:rsid w:val="008F1CF2"/>
    <w:rsid w:val="008F42F6"/>
    <w:rsid w:val="008F7CD0"/>
    <w:rsid w:val="0090555A"/>
    <w:rsid w:val="00907474"/>
    <w:rsid w:val="00911448"/>
    <w:rsid w:val="0091230E"/>
    <w:rsid w:val="00920E4A"/>
    <w:rsid w:val="00930BBA"/>
    <w:rsid w:val="00950D6F"/>
    <w:rsid w:val="00951DCE"/>
    <w:rsid w:val="009570CB"/>
    <w:rsid w:val="00961DF1"/>
    <w:rsid w:val="00963F4E"/>
    <w:rsid w:val="00982563"/>
    <w:rsid w:val="00991C75"/>
    <w:rsid w:val="009946CD"/>
    <w:rsid w:val="00997245"/>
    <w:rsid w:val="009972E8"/>
    <w:rsid w:val="009A068A"/>
    <w:rsid w:val="009A27F8"/>
    <w:rsid w:val="009B0C1F"/>
    <w:rsid w:val="009C5323"/>
    <w:rsid w:val="009D06E4"/>
    <w:rsid w:val="009E0977"/>
    <w:rsid w:val="009F79F6"/>
    <w:rsid w:val="00A07F88"/>
    <w:rsid w:val="00A11F61"/>
    <w:rsid w:val="00A17172"/>
    <w:rsid w:val="00A26E60"/>
    <w:rsid w:val="00A27471"/>
    <w:rsid w:val="00A27D2B"/>
    <w:rsid w:val="00A30238"/>
    <w:rsid w:val="00A31A41"/>
    <w:rsid w:val="00A3554E"/>
    <w:rsid w:val="00A3606A"/>
    <w:rsid w:val="00A37372"/>
    <w:rsid w:val="00A45B09"/>
    <w:rsid w:val="00A45CC0"/>
    <w:rsid w:val="00A46539"/>
    <w:rsid w:val="00A54E83"/>
    <w:rsid w:val="00A641CB"/>
    <w:rsid w:val="00A729E4"/>
    <w:rsid w:val="00A830D0"/>
    <w:rsid w:val="00A844EC"/>
    <w:rsid w:val="00A8663F"/>
    <w:rsid w:val="00A87B9F"/>
    <w:rsid w:val="00A95036"/>
    <w:rsid w:val="00A96F6F"/>
    <w:rsid w:val="00AA186C"/>
    <w:rsid w:val="00AB4C2C"/>
    <w:rsid w:val="00AB63D5"/>
    <w:rsid w:val="00AC1781"/>
    <w:rsid w:val="00AE072D"/>
    <w:rsid w:val="00AF048D"/>
    <w:rsid w:val="00B04B5F"/>
    <w:rsid w:val="00B06300"/>
    <w:rsid w:val="00B104F4"/>
    <w:rsid w:val="00B12101"/>
    <w:rsid w:val="00B15AB9"/>
    <w:rsid w:val="00B161F6"/>
    <w:rsid w:val="00B23D04"/>
    <w:rsid w:val="00B263D3"/>
    <w:rsid w:val="00B3092C"/>
    <w:rsid w:val="00B33349"/>
    <w:rsid w:val="00B37410"/>
    <w:rsid w:val="00B437D1"/>
    <w:rsid w:val="00B56179"/>
    <w:rsid w:val="00B66BA6"/>
    <w:rsid w:val="00B74850"/>
    <w:rsid w:val="00B83F53"/>
    <w:rsid w:val="00B84EA7"/>
    <w:rsid w:val="00B902C3"/>
    <w:rsid w:val="00BA7902"/>
    <w:rsid w:val="00BB3BC7"/>
    <w:rsid w:val="00BC6277"/>
    <w:rsid w:val="00BC68C8"/>
    <w:rsid w:val="00BD1A6E"/>
    <w:rsid w:val="00BD7271"/>
    <w:rsid w:val="00BD77AF"/>
    <w:rsid w:val="00BE01AB"/>
    <w:rsid w:val="00BE5582"/>
    <w:rsid w:val="00BE638E"/>
    <w:rsid w:val="00BF2AD6"/>
    <w:rsid w:val="00BF2B33"/>
    <w:rsid w:val="00C025CD"/>
    <w:rsid w:val="00C143C8"/>
    <w:rsid w:val="00C17F85"/>
    <w:rsid w:val="00C25056"/>
    <w:rsid w:val="00C252A5"/>
    <w:rsid w:val="00C428B9"/>
    <w:rsid w:val="00C43238"/>
    <w:rsid w:val="00C45434"/>
    <w:rsid w:val="00C72236"/>
    <w:rsid w:val="00C9492B"/>
    <w:rsid w:val="00C94E6C"/>
    <w:rsid w:val="00C96B36"/>
    <w:rsid w:val="00CA0C0E"/>
    <w:rsid w:val="00CA74B8"/>
    <w:rsid w:val="00CB7579"/>
    <w:rsid w:val="00CC1FDE"/>
    <w:rsid w:val="00CC4370"/>
    <w:rsid w:val="00CD055E"/>
    <w:rsid w:val="00CE0538"/>
    <w:rsid w:val="00CE2F29"/>
    <w:rsid w:val="00CE42A3"/>
    <w:rsid w:val="00CF7AF4"/>
    <w:rsid w:val="00D05168"/>
    <w:rsid w:val="00D23D3C"/>
    <w:rsid w:val="00D27FD5"/>
    <w:rsid w:val="00D33C15"/>
    <w:rsid w:val="00D365F3"/>
    <w:rsid w:val="00D41646"/>
    <w:rsid w:val="00D4554A"/>
    <w:rsid w:val="00D512EE"/>
    <w:rsid w:val="00D6347F"/>
    <w:rsid w:val="00D63CCE"/>
    <w:rsid w:val="00D7199D"/>
    <w:rsid w:val="00D7432D"/>
    <w:rsid w:val="00D80E79"/>
    <w:rsid w:val="00D97063"/>
    <w:rsid w:val="00DA4B81"/>
    <w:rsid w:val="00DC23C2"/>
    <w:rsid w:val="00DC7DA5"/>
    <w:rsid w:val="00DD3F96"/>
    <w:rsid w:val="00DD4BB0"/>
    <w:rsid w:val="00DD7EB5"/>
    <w:rsid w:val="00DE3A55"/>
    <w:rsid w:val="00E026C8"/>
    <w:rsid w:val="00E0415F"/>
    <w:rsid w:val="00E059E2"/>
    <w:rsid w:val="00E07CBB"/>
    <w:rsid w:val="00E10838"/>
    <w:rsid w:val="00E10AAC"/>
    <w:rsid w:val="00E15341"/>
    <w:rsid w:val="00E208B6"/>
    <w:rsid w:val="00E20C9F"/>
    <w:rsid w:val="00E276A3"/>
    <w:rsid w:val="00E27E0A"/>
    <w:rsid w:val="00E34479"/>
    <w:rsid w:val="00E34937"/>
    <w:rsid w:val="00E35DBF"/>
    <w:rsid w:val="00E378CA"/>
    <w:rsid w:val="00E40AA0"/>
    <w:rsid w:val="00E43635"/>
    <w:rsid w:val="00E458F7"/>
    <w:rsid w:val="00E4715D"/>
    <w:rsid w:val="00E50627"/>
    <w:rsid w:val="00E55BBE"/>
    <w:rsid w:val="00E570C4"/>
    <w:rsid w:val="00E57C87"/>
    <w:rsid w:val="00E57EEC"/>
    <w:rsid w:val="00E603E5"/>
    <w:rsid w:val="00E7097B"/>
    <w:rsid w:val="00E71B70"/>
    <w:rsid w:val="00E77600"/>
    <w:rsid w:val="00E879DB"/>
    <w:rsid w:val="00EA4E6E"/>
    <w:rsid w:val="00EA5FAC"/>
    <w:rsid w:val="00EA6F8C"/>
    <w:rsid w:val="00EB1CEB"/>
    <w:rsid w:val="00EE19AE"/>
    <w:rsid w:val="00EF0C09"/>
    <w:rsid w:val="00EF6401"/>
    <w:rsid w:val="00EF6F44"/>
    <w:rsid w:val="00F00903"/>
    <w:rsid w:val="00F11202"/>
    <w:rsid w:val="00F16C07"/>
    <w:rsid w:val="00F17EDF"/>
    <w:rsid w:val="00F20E70"/>
    <w:rsid w:val="00F269A4"/>
    <w:rsid w:val="00F300DE"/>
    <w:rsid w:val="00F3404D"/>
    <w:rsid w:val="00F3671F"/>
    <w:rsid w:val="00F40424"/>
    <w:rsid w:val="00F5005A"/>
    <w:rsid w:val="00F54417"/>
    <w:rsid w:val="00F612B7"/>
    <w:rsid w:val="00F643FB"/>
    <w:rsid w:val="00F70E64"/>
    <w:rsid w:val="00F7325A"/>
    <w:rsid w:val="00F74954"/>
    <w:rsid w:val="00F876D1"/>
    <w:rsid w:val="00F92793"/>
    <w:rsid w:val="00F92E5E"/>
    <w:rsid w:val="00F93AED"/>
    <w:rsid w:val="00F95E2C"/>
    <w:rsid w:val="00FA315D"/>
    <w:rsid w:val="00FB3E19"/>
    <w:rsid w:val="00FB4B82"/>
    <w:rsid w:val="00FD2A2F"/>
    <w:rsid w:val="00FE1202"/>
    <w:rsid w:val="00FF1CDE"/>
    <w:rsid w:val="00FF532C"/>
    <w:rsid w:val="00FF5AD0"/>
    <w:rsid w:val="00FF7962"/>
    <w:rsid w:val="029B26BC"/>
    <w:rsid w:val="039835E7"/>
    <w:rsid w:val="060F3940"/>
    <w:rsid w:val="086BEB9E"/>
    <w:rsid w:val="0D3E9B7C"/>
    <w:rsid w:val="109F6879"/>
    <w:rsid w:val="135728A2"/>
    <w:rsid w:val="15196822"/>
    <w:rsid w:val="189D1FD2"/>
    <w:rsid w:val="1A5A848B"/>
    <w:rsid w:val="1B1A10BB"/>
    <w:rsid w:val="1CD89141"/>
    <w:rsid w:val="1D96E271"/>
    <w:rsid w:val="1D979BFD"/>
    <w:rsid w:val="1F2D053A"/>
    <w:rsid w:val="20F3B040"/>
    <w:rsid w:val="2532ACC5"/>
    <w:rsid w:val="26493617"/>
    <w:rsid w:val="29B407E2"/>
    <w:rsid w:val="2B37091F"/>
    <w:rsid w:val="2B7E3B67"/>
    <w:rsid w:val="2C1B8979"/>
    <w:rsid w:val="34250E13"/>
    <w:rsid w:val="3ACC22F3"/>
    <w:rsid w:val="3B03374D"/>
    <w:rsid w:val="3C4A0409"/>
    <w:rsid w:val="3E54108C"/>
    <w:rsid w:val="408CC2D5"/>
    <w:rsid w:val="48F2C209"/>
    <w:rsid w:val="502086AB"/>
    <w:rsid w:val="50F0DEFC"/>
    <w:rsid w:val="54F0972E"/>
    <w:rsid w:val="55C4501F"/>
    <w:rsid w:val="56C03F94"/>
    <w:rsid w:val="593FB8E0"/>
    <w:rsid w:val="5C4DA6BF"/>
    <w:rsid w:val="5ECA7A0A"/>
    <w:rsid w:val="5F4C395D"/>
    <w:rsid w:val="5FE669D2"/>
    <w:rsid w:val="621E2BE4"/>
    <w:rsid w:val="6E94C438"/>
    <w:rsid w:val="71C044CE"/>
    <w:rsid w:val="75283EAB"/>
    <w:rsid w:val="7AF695FE"/>
    <w:rsid w:val="7B3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1C84"/>
  <w15:chartTrackingRefBased/>
  <w15:docId w15:val="{158E123C-1F70-4D54-9960-6191E71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18"/>
  </w:style>
  <w:style w:type="paragraph" w:styleId="Overskrift1">
    <w:name w:val="heading 1"/>
    <w:basedOn w:val="Normal"/>
    <w:next w:val="Normal"/>
    <w:link w:val="Overskrift1Tegn"/>
    <w:uiPriority w:val="9"/>
    <w:qFormat/>
    <w:rsid w:val="00351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1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5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517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5171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51718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351718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35171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51718"/>
    <w:rPr>
      <w:rFonts w:ascii="Calibri" w:eastAsia="Times New Roman" w:hAnsi="Calibri" w:cs="Times New Roman"/>
      <w:lang w:val="en-US"/>
    </w:rPr>
  </w:style>
  <w:style w:type="character" w:customStyle="1" w:styleId="normaltextrun">
    <w:name w:val="normaltextrun"/>
    <w:basedOn w:val="Standardskriftforavsnitt"/>
    <w:rsid w:val="00351718"/>
  </w:style>
  <w:style w:type="character" w:customStyle="1" w:styleId="spellingerror">
    <w:name w:val="spellingerror"/>
    <w:basedOn w:val="Standardskriftforavsnitt"/>
    <w:rsid w:val="00351718"/>
  </w:style>
  <w:style w:type="character" w:styleId="Hyperkobling">
    <w:name w:val="Hyperlink"/>
    <w:basedOn w:val="Standardskriftforavsnitt"/>
    <w:uiPriority w:val="99"/>
    <w:unhideWhenUsed/>
    <w:rsid w:val="003517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30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304E"/>
    <w:rPr>
      <w:b/>
      <w:bCs/>
      <w:sz w:val="20"/>
      <w:szCs w:val="20"/>
    </w:rPr>
  </w:style>
  <w:style w:type="paragraph" w:customStyle="1" w:styleId="paragraph">
    <w:name w:val="paragraph"/>
    <w:basedOn w:val="Normal"/>
    <w:rsid w:val="005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7613D"/>
  </w:style>
  <w:style w:type="character" w:styleId="Ulstomtale">
    <w:name w:val="Unresolved Mention"/>
    <w:basedOn w:val="Standardskriftforavsnitt"/>
    <w:uiPriority w:val="99"/>
    <w:unhideWhenUsed/>
    <w:rsid w:val="00911448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11448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A6638"/>
    <w:rPr>
      <w:color w:val="954F72" w:themeColor="followedHyperlink"/>
      <w:u w:val="single"/>
    </w:rPr>
  </w:style>
  <w:style w:type="paragraph" w:customStyle="1" w:styleId="Tittel1">
    <w:name w:val="Tittel1"/>
    <w:basedOn w:val="Normal"/>
    <w:link w:val="Tittel1Char"/>
    <w:qFormat/>
    <w:rsid w:val="48F2C209"/>
    <w:pPr>
      <w:spacing w:after="0"/>
    </w:pPr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character" w:customStyle="1" w:styleId="Tittel1Char">
    <w:name w:val="Tittel1 Char"/>
    <w:basedOn w:val="Standardskriftforavsnitt"/>
    <w:link w:val="Tittel1"/>
    <w:rsid w:val="48F2C209"/>
    <w:rPr>
      <w:rFonts w:ascii="Calibri" w:eastAsia="Times New Roman" w:hAnsi="Calibri" w:cs="Arial"/>
      <w:b/>
      <w:bCs/>
      <w:sz w:val="22"/>
      <w:szCs w:val="22"/>
      <w:u w:val="single"/>
      <w:lang w:val="en-US"/>
    </w:rPr>
  </w:style>
  <w:style w:type="paragraph" w:styleId="Revisjon">
    <w:name w:val="Revision"/>
    <w:hidden/>
    <w:uiPriority w:val="99"/>
    <w:semiHidden/>
    <w:rsid w:val="00113E8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nou-2022-20/id2951826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ettavisen.no/okonomi/ny-rapport-skyhoy-fart-i-oljebransjen-kan-bli-kjempeproblem-for-norsk-havvind-suksess/s/5-95-50854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46E63D3F76542882CA3E4675D98B5" ma:contentTypeVersion="16" ma:contentTypeDescription="Opprett et nytt dokument." ma:contentTypeScope="" ma:versionID="6d2592db506a5e3904893d2e346a2af5">
  <xsd:schema xmlns:xsd="http://www.w3.org/2001/XMLSchema" xmlns:xs="http://www.w3.org/2001/XMLSchema" xmlns:p="http://schemas.microsoft.com/office/2006/metadata/properties" xmlns:ns2="3c8d24a5-744f-4a13-9cf1-6dd99ffb7382" xmlns:ns3="2bac6de2-20a9-41c2-94e0-cb2f96934632" targetNamespace="http://schemas.microsoft.com/office/2006/metadata/properties" ma:root="true" ma:fieldsID="41aac211448db9de187cfffc36bae181" ns2:_="" ns3:_="">
    <xsd:import namespace="3c8d24a5-744f-4a13-9cf1-6dd99ffb7382"/>
    <xsd:import namespace="2bac6de2-20a9-41c2-94e0-cb2f96934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24a5-744f-4a13-9cf1-6dd99ffb7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a0803f0-abc1-422e-af70-7f837c67f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6de2-20a9-41c2-94e0-cb2f96934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fcab67-8e30-4b4b-81a9-0386671b8176}" ma:internalName="TaxCatchAll" ma:showField="CatchAllData" ma:web="2bac6de2-20a9-41c2-94e0-cb2f969346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d24a5-744f-4a13-9cf1-6dd99ffb7382">
      <Terms xmlns="http://schemas.microsoft.com/office/infopath/2007/PartnerControls"/>
    </lcf76f155ced4ddcb4097134ff3c332f>
    <TaxCatchAll xmlns="2bac6de2-20a9-41c2-94e0-cb2f96934632" xsi:nil="true"/>
  </documentManagement>
</p:properties>
</file>

<file path=customXml/itemProps1.xml><?xml version="1.0" encoding="utf-8"?>
<ds:datastoreItem xmlns:ds="http://schemas.openxmlformats.org/officeDocument/2006/customXml" ds:itemID="{BD604EDF-7364-4346-8DE3-44FDC66FE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72C86-4184-4D04-AAC9-1162C352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d24a5-744f-4a13-9cf1-6dd99ffb7382"/>
    <ds:schemaRef ds:uri="2bac6de2-20a9-41c2-94e0-cb2f96934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45387-F855-4282-87CA-E2418A3F0491}">
  <ds:schemaRefs>
    <ds:schemaRef ds:uri="http://schemas.microsoft.com/office/2006/metadata/properties"/>
    <ds:schemaRef ds:uri="http://schemas.microsoft.com/office/infopath/2007/PartnerControls"/>
    <ds:schemaRef ds:uri="3c8d24a5-744f-4a13-9cf1-6dd99ffb7382"/>
    <ds:schemaRef ds:uri="2bac6de2-20a9-41c2-94e0-cb2f96934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586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Hansen</dc:creator>
  <cp:keywords/>
  <dc:description/>
  <cp:lastModifiedBy>Herman Ekle Lund</cp:lastModifiedBy>
  <cp:revision>38</cp:revision>
  <dcterms:created xsi:type="dcterms:W3CDTF">2023-01-27T09:37:00Z</dcterms:created>
  <dcterms:modified xsi:type="dcterms:W3CDTF">2023-01-30T15:20:00Z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0x010100F9246E63D3F76542882CA3E4675D98B5</vt:lpwstr>
  </property>
  <property fmtid="{D5CDD505-2E9C-101B-9397-08002B2CF9AE}" pid="3" name="MediaServiceImageTags">
    <vt:lpwstr/>
  </property>
</Properties>
</file>